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Výroční zpráva OS Mechanika tekutin ČSM za rok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Zpráva o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řešení aktivity Strategie AV21 v roce 2020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69"/>
        <w:gridCol w:w="6520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Výzkumný program</w:t>
            </w:r>
          </w:p>
        </w:tc>
        <w:tc>
          <w:tcPr>
            <w:tcW w:w="65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VP03 –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činná přeměna a skladování energie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Koordinátor</w:t>
            </w:r>
          </w:p>
        </w:tc>
        <w:tc>
          <w:tcPr>
            <w:tcW w:w="65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Ing. 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ří Plešek, CSc.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Pracovišt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 koordinátora</w:t>
            </w:r>
          </w:p>
        </w:tc>
        <w:tc>
          <w:tcPr>
            <w:tcW w:w="65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Ústav termomechaniky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3341"/>
        <w:gridCol w:w="363"/>
        <w:gridCol w:w="6185"/>
      </w:tblGrid>
      <w:tr>
        <w:trPr>
          <w:trHeight w:val="314" w:hRule="auto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Název aktivity: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334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Výzkumné téma: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řížkem označte relevantní téma</w:t>
            </w:r>
          </w:p>
        </w:tc>
        <w:tc>
          <w:tcPr>
            <w:tcW w:w="36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Nanostrukturní materiály pro konverzi a skladování energie</w:t>
            </w:r>
          </w:p>
        </w:tc>
      </w:tr>
      <w:tr>
        <w:trPr>
          <w:trHeight w:val="180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Efektivní využití obnovitelných zdroj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ů energie a inteligentní přenos energie</w:t>
            </w:r>
          </w:p>
        </w:tc>
      </w:tr>
      <w:tr>
        <w:trPr>
          <w:trHeight w:val="255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činné a čisté postupy zpracování paliv</w:t>
            </w:r>
          </w:p>
        </w:tc>
      </w:tr>
      <w:tr>
        <w:trPr>
          <w:trHeight w:val="165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Skladování energie v setrva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čnících</w:t>
            </w:r>
          </w:p>
        </w:tc>
      </w:tr>
      <w:tr>
        <w:trPr>
          <w:trHeight w:val="150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Skladování tepelné energie</w:t>
            </w:r>
          </w:p>
        </w:tc>
      </w:tr>
      <w:tr>
        <w:trPr>
          <w:trHeight w:val="135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římá přeměna sluneční energie na vodík</w:t>
            </w:r>
          </w:p>
        </w:tc>
      </w:tr>
      <w:tr>
        <w:trPr>
          <w:trHeight w:val="126" w:hRule="auto"/>
          <w:jc w:val="left"/>
        </w:trPr>
        <w:tc>
          <w:tcPr>
            <w:tcW w:w="334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618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Zvyšování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činnosti elektráren</w:t>
            </w: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hlavního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řešitele: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Václav Uruba</w:t>
            </w: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Pracovišt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 hlavního řešitele: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ÚT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Seznam pracoviš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ť: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Uve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ďte pracoviště AV ČR (tzv. partnerská pracoviště) a pracoviště mimo AV ČR (tzv. spolupracující pracoviště) podílející se tvůrčím způsobem na řešení (ne jako běžný dodavatel/odběratel).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ÚT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Zpráva 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řešení: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2-4 odstavce souvislého textu s výsledky a obrázky, který lze bez v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ětších úprav publikovat na webu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http://upase.it.cas.cz</w:t>
              </w:r>
            </w:hyperlink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. Lze uvád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ět i odkazy a citace.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Obrázky p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řiložte také jako samostatné soubory.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 rámci aktivity byla organizována konfrence “Power System Engineering, Thermodynamics &amp; Fluid Mechanics – 2020” spolu s workshopem “Improving Efficiency of Power Engineering Machines”, 8.-10.9.2020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Akce se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častnilo 47 účastníků, z toho 15 ze zahraničí (z 5 zemí), částečně on-line, byla významná účast pracovníků Doosan Škoda Power a Škoda JS.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Sborník bude ve WoS.</w:t>
            </w: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Podíl jednotlivých pracoviš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 na výsledcích a zdůvodnění případných odchylek od plánovaných cílů: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auto" w:fill="daee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Čerpání rozpočtu: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Vypl</w:t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ňte s ohledem na tabulku, kterou jste odevzdali jako přílohu </w:t>
              <w:br/>
            </w: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0"/>
                <w:shd w:fill="auto" w:val="clear"/>
              </w:rPr>
              <w:t xml:space="preserve">k žádosti o dotaci</w:t>
            </w:r>
          </w:p>
        </w:tc>
        <w:tc>
          <w:tcPr>
            <w:tcW w:w="65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Ke kterému dni platí údaje níže (orienta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čně):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Osobní náklady: 4 500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 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ční náklady: 74 500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upase.it.cas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