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108" w:type="dxa"/>
      </w:tblPr>
      <w:tblGrid>
        <w:gridCol w:w="1604"/>
        <w:gridCol w:w="1534"/>
        <w:gridCol w:w="1385"/>
        <w:gridCol w:w="1271"/>
        <w:gridCol w:w="1917"/>
        <w:gridCol w:w="1469"/>
      </w:tblGrid>
      <w:tr>
        <w:trPr>
          <w:trHeight w:val="1" w:hRule="atLeast"/>
          <w:jc w:val="left"/>
        </w:trPr>
        <w:tc>
          <w:tcPr>
            <w:tcW w:w="918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Publika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ční činnost-  OS ČSM Počítačová mechanika </w:t>
            </w:r>
          </w:p>
        </w:tc>
      </w:tr>
      <w:tr>
        <w:trPr>
          <w:trHeight w:val="1" w:hRule="atLeast"/>
          <w:jc w:val="left"/>
        </w:trPr>
        <w:tc>
          <w:tcPr>
            <w:tcW w:w="1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Název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časopisu/ monografie</w:t>
            </w: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Po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čet čísel/rok</w:t>
            </w: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Impakt faktor</w:t>
            </w: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Vydavatel/edito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ři</w:t>
            </w: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Poznámky</w:t>
            </w:r>
          </w:p>
        </w:tc>
      </w:tr>
      <w:tr>
        <w:trPr>
          <w:trHeight w:val="1" w:hRule="atLeast"/>
          <w:jc w:val="left"/>
        </w:trPr>
        <w:tc>
          <w:tcPr>
            <w:tcW w:w="1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Mezinárodní cizojazy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čná periodika s IF vydávaná ČSM (pod záštitou)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Mezinárodní cizojazy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čná periodika v angl. (celá nebo zčásti) vydávaná ČSM (pod záštitou)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Periodická publika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ční činnost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Monografie vydané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ČSM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70C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18"/>
          <w:shd w:fill="auto" w:val="clear"/>
        </w:rPr>
        <w:t xml:space="preserve">*) </w:t>
      </w:r>
      <w:r>
        <w:rPr>
          <w:rFonts w:ascii="Cambria" w:hAnsi="Cambria" w:cs="Cambria" w:eastAsia="Cambria"/>
          <w:color w:val="0070C0"/>
          <w:spacing w:val="0"/>
          <w:position w:val="0"/>
          <w:sz w:val="18"/>
          <w:shd w:fill="auto" w:val="clear"/>
        </w:rPr>
        <w:t xml:space="preserve">P</w:t>
      </w:r>
      <w:r>
        <w:rPr>
          <w:rFonts w:ascii="Cambria" w:hAnsi="Cambria" w:cs="Cambria" w:eastAsia="Cambria"/>
          <w:color w:val="0070C0"/>
          <w:spacing w:val="0"/>
          <w:position w:val="0"/>
          <w:sz w:val="18"/>
          <w:shd w:fill="auto" w:val="clear"/>
        </w:rPr>
        <w:t xml:space="preserve">říklad vyplnění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1063"/>
        <w:gridCol w:w="591"/>
        <w:gridCol w:w="643"/>
        <w:gridCol w:w="688"/>
        <w:gridCol w:w="879"/>
        <w:gridCol w:w="790"/>
        <w:gridCol w:w="707"/>
        <w:gridCol w:w="743"/>
        <w:gridCol w:w="2101"/>
        <w:gridCol w:w="975"/>
      </w:tblGrid>
      <w:tr>
        <w:trPr>
          <w:trHeight w:val="1" w:hRule="atLeast"/>
          <w:jc w:val="left"/>
        </w:trPr>
        <w:tc>
          <w:tcPr>
            <w:tcW w:w="9180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Sborníky z konferencí/kongres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ů/seminářů</w:t>
            </w:r>
          </w:p>
        </w:tc>
      </w:tr>
      <w:tr>
        <w:trPr>
          <w:trHeight w:val="1" w:hRule="atLeast"/>
          <w:jc w:val="left"/>
        </w:trPr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Název konference/ ro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čník (pokud se uvádí)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Datum konání</w:t>
            </w:r>
          </w:p>
        </w:tc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Místo konání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Sborník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ANO/NE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Název sborníku </w:t>
            </w:r>
          </w:p>
        </w:tc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Edito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ři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Za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řazení do databáze (WoS, Scopus, ostatní)</w:t>
            </w:r>
          </w:p>
        </w:tc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Po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řádáno pod záštitou ČSM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ANO/NE</w:t>
            </w:r>
          </w:p>
        </w:tc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Odkaz na www stránky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Další inormace o konf., nap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ř. počet účastníků, z toho zahr.</w:t>
            </w:r>
          </w:p>
        </w:tc>
      </w:tr>
      <w:tr>
        <w:trPr>
          <w:trHeight w:val="1" w:hRule="atLeast"/>
          <w:jc w:val="left"/>
        </w:trPr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70C0"/>
                <w:spacing w:val="0"/>
                <w:position w:val="0"/>
                <w:sz w:val="20"/>
                <w:shd w:fill="auto" w:val="clear"/>
              </w:rPr>
              <w:t xml:space="preserve">9th European Conference of Constitutive Models for Rubber *)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70C0"/>
                <w:spacing w:val="0"/>
                <w:position w:val="0"/>
                <w:sz w:val="20"/>
                <w:shd w:fill="auto" w:val="clear"/>
              </w:rPr>
              <w:t xml:space="preserve">28. 8. – 3.9. 2015</w:t>
            </w:r>
          </w:p>
        </w:tc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70C0"/>
                <w:spacing w:val="0"/>
                <w:position w:val="0"/>
                <w:sz w:val="20"/>
                <w:shd w:fill="auto" w:val="clear"/>
              </w:rPr>
              <w:t xml:space="preserve">Praha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70C0"/>
                <w:spacing w:val="0"/>
                <w:position w:val="0"/>
                <w:sz w:val="20"/>
                <w:shd w:fill="auto" w:val="clear"/>
              </w:rPr>
              <w:t xml:space="preserve">ANO</w:t>
            </w:r>
          </w:p>
        </w:tc>
        <w:tc>
          <w:tcPr>
            <w:tcW w:w="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70C0"/>
                <w:spacing w:val="0"/>
                <w:position w:val="0"/>
                <w:sz w:val="20"/>
                <w:shd w:fill="auto" w:val="clear"/>
              </w:rPr>
              <w:t xml:space="preserve">Constitutive Models for Rubber IX</w:t>
            </w:r>
          </w:p>
        </w:tc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70C0"/>
                <w:spacing w:val="0"/>
                <w:position w:val="0"/>
                <w:sz w:val="20"/>
                <w:shd w:fill="auto" w:val="clear"/>
              </w:rPr>
              <w:t xml:space="preserve">Marvalova B.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70C0"/>
                <w:spacing w:val="0"/>
                <w:position w:val="0"/>
                <w:sz w:val="20"/>
                <w:shd w:fill="auto" w:val="clear"/>
              </w:rPr>
              <w:t xml:space="preserve">Scopus</w:t>
            </w:r>
          </w:p>
        </w:tc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70C0"/>
                <w:spacing w:val="0"/>
                <w:position w:val="0"/>
                <w:sz w:val="20"/>
                <w:shd w:fill="auto" w:val="clear"/>
              </w:rPr>
              <w:t xml:space="preserve">ANO</w:t>
            </w:r>
          </w:p>
        </w:tc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70C0"/>
                <w:spacing w:val="0"/>
                <w:position w:val="0"/>
                <w:sz w:val="20"/>
                <w:shd w:fill="auto" w:val="clear"/>
              </w:rPr>
              <w:t xml:space="preserve">--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70C0"/>
                <w:spacing w:val="0"/>
                <w:position w:val="0"/>
                <w:sz w:val="20"/>
                <w:shd w:fill="auto" w:val="clear"/>
              </w:rPr>
              <w:t xml:space="preserve">140 ú</w:t>
            </w:r>
            <w:r>
              <w:rPr>
                <w:rFonts w:ascii="Cambria" w:hAnsi="Cambria" w:cs="Cambria" w:eastAsia="Cambria"/>
                <w:color w:val="0070C0"/>
                <w:spacing w:val="0"/>
                <w:position w:val="0"/>
                <w:sz w:val="20"/>
                <w:shd w:fill="auto" w:val="clear"/>
              </w:rPr>
              <w:t xml:space="preserve">častníků, 120 ze zahraničí </w:t>
            </w:r>
          </w:p>
        </w:tc>
      </w:tr>
      <w:tr>
        <w:trPr>
          <w:trHeight w:val="1" w:hRule="atLeast"/>
          <w:jc w:val="left"/>
        </w:trPr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  ECCOMAS  Advanced  Online  Course  on  Computational  Structural  Dynamics</w:t>
            </w: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31.8.- 4.9. 2020</w:t>
            </w:r>
          </w:p>
        </w:tc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On-line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řes aplikaci ZOOM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</w:t>
            </w:r>
          </w:p>
        </w:tc>
        <w:tc>
          <w:tcPr>
            <w:tcW w:w="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ANO</w:t>
            </w:r>
          </w:p>
        </w:tc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http://shortcourse2020.it.cas.cz/</w:t>
              </w:r>
            </w:hyperlink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71 poslucha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čů (z toho 51 zahraničních)</w:t>
            </w:r>
          </w:p>
        </w:tc>
      </w:tr>
      <w:tr>
        <w:trPr>
          <w:trHeight w:val="1" w:hRule="atLeast"/>
          <w:jc w:val="left"/>
        </w:trPr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70C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18"/>
          <w:shd w:fill="auto" w:val="clear"/>
        </w:rPr>
        <w:t xml:space="preserve">*) </w:t>
      </w:r>
      <w:r>
        <w:rPr>
          <w:rFonts w:ascii="Cambria" w:hAnsi="Cambria" w:cs="Cambria" w:eastAsia="Cambria"/>
          <w:color w:val="0070C0"/>
          <w:spacing w:val="0"/>
          <w:position w:val="0"/>
          <w:sz w:val="18"/>
          <w:shd w:fill="auto" w:val="clear"/>
        </w:rPr>
        <w:t xml:space="preserve">P</w:t>
      </w:r>
      <w:r>
        <w:rPr>
          <w:rFonts w:ascii="Cambria" w:hAnsi="Cambria" w:cs="Cambria" w:eastAsia="Cambria"/>
          <w:color w:val="0070C0"/>
          <w:spacing w:val="0"/>
          <w:position w:val="0"/>
          <w:sz w:val="18"/>
          <w:shd w:fill="auto" w:val="clear"/>
        </w:rPr>
        <w:t xml:space="preserve">říklad vyplnění</w:t>
      </w:r>
    </w:p>
    <w:tbl>
      <w:tblPr>
        <w:tblInd w:w="108" w:type="dxa"/>
      </w:tblPr>
      <w:tblGrid>
        <w:gridCol w:w="1886"/>
        <w:gridCol w:w="1748"/>
        <w:gridCol w:w="2251"/>
        <w:gridCol w:w="1912"/>
        <w:gridCol w:w="1383"/>
      </w:tblGrid>
      <w:tr>
        <w:trPr>
          <w:trHeight w:val="1" w:hRule="atLeast"/>
          <w:jc w:val="left"/>
        </w:trPr>
        <w:tc>
          <w:tcPr>
            <w:tcW w:w="918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řednášková činnost,  výstavy</w:t>
            </w:r>
          </w:p>
        </w:tc>
      </w:tr>
      <w:tr>
        <w:trPr>
          <w:trHeight w:val="1" w:hRule="atLeast"/>
          <w:jc w:val="left"/>
        </w:trPr>
        <w:tc>
          <w:tcPr>
            <w:tcW w:w="1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řednášející</w:t>
            </w:r>
          </w:p>
        </w:tc>
        <w:tc>
          <w:tcPr>
            <w:tcW w:w="1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Instituce</w:t>
            </w:r>
          </w:p>
        </w:tc>
        <w:tc>
          <w:tcPr>
            <w:tcW w:w="2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Název p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řednášky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Datum konání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Téma / Název akce, pokud je</w:t>
            </w:r>
          </w:p>
        </w:tc>
      </w:tr>
      <w:tr>
        <w:trPr>
          <w:trHeight w:val="1" w:hRule="atLeast"/>
          <w:jc w:val="left"/>
        </w:trPr>
        <w:tc>
          <w:tcPr>
            <w:tcW w:w="1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Dr. Martin Zelený</w:t>
            </w:r>
          </w:p>
        </w:tc>
        <w:tc>
          <w:tcPr>
            <w:tcW w:w="1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Strojní fakulta, VUT v Brn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</w:t>
            </w:r>
          </w:p>
        </w:tc>
        <w:tc>
          <w:tcPr>
            <w:tcW w:w="2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First-principles calculations of elastic constants for complex systems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 leden 2020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ÚT seminá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</w:p>
        </w:tc>
      </w:tr>
      <w:tr>
        <w:trPr>
          <w:trHeight w:val="1" w:hRule="atLeast"/>
          <w:jc w:val="left"/>
        </w:trPr>
        <w:tc>
          <w:tcPr>
            <w:tcW w:w="1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Dr. Slavomír Parma</w:t>
            </w:r>
          </w:p>
        </w:tc>
        <w:tc>
          <w:tcPr>
            <w:tcW w:w="1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ÚT AV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ČR, v. v. i.</w:t>
            </w:r>
          </w:p>
        </w:tc>
        <w:tc>
          <w:tcPr>
            <w:tcW w:w="2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Experimental and Numerical Procedures for Calibration of Advanced Phenomenological Models of Metal Plasticity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17. února 2020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ÚT seminá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</w:p>
        </w:tc>
      </w:tr>
      <w:tr>
        <w:trPr>
          <w:trHeight w:val="1" w:hRule="atLeast"/>
          <w:jc w:val="left"/>
        </w:trPr>
        <w:tc>
          <w:tcPr>
            <w:tcW w:w="1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Dr. Markus Geiß</w:t>
            </w:r>
          </w:p>
        </w:tc>
        <w:tc>
          <w:tcPr>
            <w:tcW w:w="1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OHB System AG, Weßling, Germany</w:t>
            </w:r>
          </w:p>
        </w:tc>
        <w:tc>
          <w:tcPr>
            <w:tcW w:w="2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Structural Design and Analysis at OHB System AG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27. února 2020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ÚT seminá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</w:p>
        </w:tc>
      </w:tr>
      <w:tr>
        <w:trPr>
          <w:trHeight w:val="1" w:hRule="atLeast"/>
          <w:jc w:val="left"/>
        </w:trPr>
        <w:tc>
          <w:tcPr>
            <w:tcW w:w="1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prof. Pavel Honzátko</w:t>
            </w:r>
          </w:p>
        </w:tc>
        <w:tc>
          <w:tcPr>
            <w:tcW w:w="1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Ústav fotoniky a elektroniky AV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ČR, v. v. i.</w:t>
            </w:r>
          </w:p>
        </w:tc>
        <w:tc>
          <w:tcPr>
            <w:tcW w:w="2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Thermomechanics in optical fibre drawing, splicing, and everyday use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řezna 2020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ÚT seminá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</w:p>
        </w:tc>
      </w:tr>
      <w:tr>
        <w:trPr>
          <w:trHeight w:val="1" w:hRule="atLeast"/>
          <w:jc w:val="left"/>
        </w:trPr>
        <w:tc>
          <w:tcPr>
            <w:tcW w:w="1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Prof. Miloslav Okrouhlík</w:t>
            </w:r>
          </w:p>
        </w:tc>
        <w:tc>
          <w:tcPr>
            <w:tcW w:w="1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ÚT AV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ČR, v. v. i.</w:t>
            </w:r>
          </w:p>
        </w:tc>
        <w:tc>
          <w:tcPr>
            <w:tcW w:w="2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Achievements, agreements and quarrels of forefathers of mechanics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29. dubna 2020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ÚT seminá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(on-line)</w:t>
            </w:r>
          </w:p>
        </w:tc>
      </w:tr>
      <w:tr>
        <w:trPr>
          <w:trHeight w:val="1" w:hRule="atLeast"/>
          <w:jc w:val="left"/>
        </w:trPr>
        <w:tc>
          <w:tcPr>
            <w:tcW w:w="1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doc. Jan Macák</w:t>
            </w:r>
          </w:p>
        </w:tc>
        <w:tc>
          <w:tcPr>
            <w:tcW w:w="1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Fakulta technologie ochrany prost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ředí, VŠCHT v Praze</w:t>
            </w:r>
          </w:p>
        </w:tc>
        <w:tc>
          <w:tcPr>
            <w:tcW w:w="2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Corrosion study in subcritical and supercritical water: An electrochemical approach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16. zá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 2020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ÚT seminá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(on-line)</w:t>
            </w:r>
          </w:p>
        </w:tc>
      </w:tr>
      <w:tr>
        <w:trPr>
          <w:trHeight w:val="1" w:hRule="atLeast"/>
          <w:jc w:val="left"/>
        </w:trPr>
        <w:tc>
          <w:tcPr>
            <w:tcW w:w="1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Dr. Rostislav Lang</w:t>
            </w:r>
          </w:p>
        </w:tc>
        <w:tc>
          <w:tcPr>
            <w:tcW w:w="1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Stavební fakulta, VUT v Brn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ě/FEM consulting, s.r.o.</w:t>
            </w:r>
          </w:p>
        </w:tc>
        <w:tc>
          <w:tcPr>
            <w:tcW w:w="2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Design and analysis of membrane structures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listopadu 2020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ÚT seminá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(on-line)</w:t>
            </w:r>
          </w:p>
        </w:tc>
      </w:tr>
      <w:tr>
        <w:trPr>
          <w:trHeight w:val="1" w:hRule="atLeast"/>
          <w:jc w:val="left"/>
        </w:trPr>
        <w:tc>
          <w:tcPr>
            <w:tcW w:w="1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Dr. Miroslav Frost</w:t>
            </w:r>
          </w:p>
        </w:tc>
        <w:tc>
          <w:tcPr>
            <w:tcW w:w="1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ÚT AV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ČR, v. v. i.</w:t>
            </w:r>
          </w:p>
        </w:tc>
        <w:tc>
          <w:tcPr>
            <w:tcW w:w="2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Experimentally Validated Enhanced Constitutive Model of NiTi-based Shape Memory Polycrystals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 prosince 2020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ÚT seminá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(on-line)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2572"/>
        <w:gridCol w:w="1639"/>
        <w:gridCol w:w="1431"/>
        <w:gridCol w:w="1780"/>
        <w:gridCol w:w="1758"/>
      </w:tblGrid>
      <w:tr>
        <w:trPr>
          <w:trHeight w:val="1" w:hRule="atLeast"/>
          <w:jc w:val="left"/>
        </w:trPr>
        <w:tc>
          <w:tcPr>
            <w:tcW w:w="918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Činnost na podporu školství všech stupňů</w:t>
            </w:r>
          </w:p>
        </w:tc>
      </w:tr>
      <w:tr>
        <w:trPr>
          <w:trHeight w:val="1" w:hRule="atLeast"/>
          <w:jc w:val="left"/>
        </w:trPr>
        <w:tc>
          <w:tcPr>
            <w:tcW w:w="2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Dny otev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řených dveří vědeckých/akademických pracovišť </w:t>
            </w:r>
          </w:p>
        </w:tc>
        <w:tc>
          <w:tcPr>
            <w:tcW w:w="1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Po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řádání soutěží </w:t>
            </w: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Letní školy</w:t>
            </w:r>
          </w:p>
        </w:tc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Workshopy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Spolupráce na studentské v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ědecké činnosti apod.</w:t>
            </w:r>
          </w:p>
        </w:tc>
      </w:tr>
      <w:tr>
        <w:trPr>
          <w:trHeight w:val="1" w:hRule="atLeast"/>
          <w:jc w:val="left"/>
        </w:trPr>
        <w:tc>
          <w:tcPr>
            <w:tcW w:w="2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2061"/>
        <w:gridCol w:w="2041"/>
        <w:gridCol w:w="1798"/>
        <w:gridCol w:w="1640"/>
        <w:gridCol w:w="1640"/>
      </w:tblGrid>
      <w:tr>
        <w:trPr>
          <w:trHeight w:val="1" w:hRule="atLeast"/>
          <w:jc w:val="left"/>
        </w:trPr>
        <w:tc>
          <w:tcPr>
            <w:tcW w:w="918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Ocen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ění za nejlepší příspěvek/poster vědeckých pracovníků do 35 let v rámci konferencí</w:t>
            </w:r>
          </w:p>
        </w:tc>
      </w:tr>
      <w:tr>
        <w:trPr>
          <w:trHeight w:val="1" w:hRule="atLeast"/>
          <w:jc w:val="left"/>
        </w:trPr>
        <w:tc>
          <w:tcPr>
            <w:tcW w:w="2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Ocen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ěný/á </w:t>
            </w: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Za p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říspěvek, ….</w:t>
            </w:r>
          </w:p>
        </w:tc>
        <w:tc>
          <w:tcPr>
            <w:tcW w:w="1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Na jaké akci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+ 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ěž o Cenu prof. Babušky (27. ročník), slavnostní vyhlášení dne 16. prosince 2020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Tabulka je vytvo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řena na základě podkladů a požadavků Rady vědeckých společností pro roční zhodnocení činností vědeckých společností a také pro informaci všem členům České společnosti pro mechaniku, z.s. Pro jednoduché zpracování, které je potřeba vytvořit do cca poloviny ledna a z důvodu správnosti a úplnosti dodaných dat byla pro tento rok a další roky vytvořena tabulka. V tabulkách můžete přidávat libovolný počet řádků, pokud je třeba.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Pokud mají pobo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 a odborné skupiny nějaké další informace týkající se činnosti spojené s Českou společností pro mechaniku, prosím uveďte v textu pod tabulkou.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Publikace jednotlivých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členů Společnosti, které vznikly v rámci institucí, u nichž jsou členové zaměstnáni, se neuvádějí.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Oznámení o významných úsp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ěších členů Společnosti v oblasti mechaniky jsou vítány.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22">
    <w:abstractNumId w:val="18"/>
  </w:num>
  <w:num w:numId="35">
    <w:abstractNumId w:val="12"/>
  </w:num>
  <w:num w:numId="58">
    <w:abstractNumId w:val="6"/>
  </w:num>
  <w:num w:numId="6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shortcourse2020.it.cas.cz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